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both"/>
        <w:rPr>
          <w:rFonts w:hint="default" w:ascii="Times New Roman" w:hAnsi="Times New Roman" w:eastAsia="宋体" w:cs="Times New Roman"/>
          <w:b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宋体" w:cs="Times New Roman"/>
          <w:b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  <w:highlight w:val="none"/>
          <w:shd w:val="clear" w:color="auto" w:fill="FFFFFF"/>
          <w:lang w:bidi="ar"/>
        </w:rPr>
        <w:t>宁波市适老化健康装备与服务技术重点实验室开放课题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基金项目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  <w:highlight w:val="none"/>
          <w:shd w:val="clear" w:color="auto" w:fill="FFFFFF"/>
          <w:lang w:bidi="ar"/>
        </w:rPr>
        <w:t>拟立项名单</w:t>
      </w:r>
    </w:p>
    <w:tbl>
      <w:tblPr>
        <w:tblStyle w:val="5"/>
        <w:tblW w:w="14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358"/>
        <w:gridCol w:w="1616"/>
        <w:gridCol w:w="3032"/>
        <w:gridCol w:w="2633"/>
        <w:gridCol w:w="2834"/>
        <w:gridCol w:w="1200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tblHeader/>
          <w:jc w:val="center"/>
        </w:trPr>
        <w:tc>
          <w:tcPr>
            <w:tcW w:w="71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课题负责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人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所在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单位</w:t>
            </w:r>
          </w:p>
        </w:tc>
        <w:tc>
          <w:tcPr>
            <w:tcW w:w="303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课题名称</w:t>
            </w:r>
          </w:p>
        </w:tc>
        <w:tc>
          <w:tcPr>
            <w:tcW w:w="263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课题组成员</w:t>
            </w:r>
          </w:p>
        </w:tc>
        <w:tc>
          <w:tcPr>
            <w:tcW w:w="2834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预期成果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课题类别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计划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结题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1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Luige Vladareanu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Institute of Solid Mechanics of the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Romanian Academy</w:t>
            </w:r>
          </w:p>
        </w:tc>
        <w:tc>
          <w:tcPr>
            <w:tcW w:w="3032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Human-Robot Interaction with Synergic Neutrosophofic Intelligent Motion for the</w:t>
            </w:r>
          </w:p>
          <w:p>
            <w:pPr>
              <w:spacing w:line="26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Rehabilitation Robots (RNeuBot)</w:t>
            </w:r>
          </w:p>
        </w:tc>
        <w:tc>
          <w:tcPr>
            <w:tcW w:w="2633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桑凌峰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Victor</w:t>
            </w:r>
          </w:p>
          <w:p>
            <w:pPr>
              <w:spacing w:line="26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Vlädǎrean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U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、</w:t>
            </w:r>
          </w:p>
          <w:p>
            <w:pPr>
              <w:spacing w:line="26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I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onel-Alex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andru Gal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Daniel-0c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tavian</w:t>
            </w:r>
          </w:p>
          <w:p>
            <w:pPr>
              <w:spacing w:line="26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Melinte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Ana-Mari</w:t>
            </w:r>
          </w:p>
          <w:p>
            <w:pPr>
              <w:spacing w:line="26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Travediu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Bianca</w:t>
            </w:r>
          </w:p>
          <w:p>
            <w:pPr>
              <w:spacing w:line="26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Rodica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Ghinoiu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Abigal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Pop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Alexandra</w:t>
            </w:r>
          </w:p>
          <w:p>
            <w:pPr>
              <w:spacing w:line="26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-Cǎtiina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Ciocirlan</w:t>
            </w:r>
          </w:p>
        </w:tc>
        <w:tc>
          <w:tcPr>
            <w:tcW w:w="2834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发表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SCI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收录期刊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论文至少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篇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，培养博士生至少两名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重大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课题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年1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1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  <w:lang w:val="en-US" w:eastAsia="zh-CN"/>
              </w:rPr>
              <w:t>2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童楚东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宁波职业技术学院</w:t>
            </w:r>
          </w:p>
        </w:tc>
        <w:tc>
          <w:tcPr>
            <w:tcW w:w="3032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适老化健康装备注塑成型品质智能监测关键技术研究</w:t>
            </w:r>
          </w:p>
        </w:tc>
        <w:tc>
          <w:tcPr>
            <w:tcW w:w="26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王正才、王萌、戴华通、胡国伟</w:t>
            </w:r>
          </w:p>
        </w:tc>
        <w:tc>
          <w:tcPr>
            <w:tcW w:w="2834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发表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SCI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收录期刊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论文至少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篇，申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请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发明专利至少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项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重点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课题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年1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1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  <w:lang w:val="en-US" w:eastAsia="zh-CN" w:bidi="ar-SA"/>
              </w:rPr>
              <w:t>3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余建平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宁波工程学院</w:t>
            </w:r>
          </w:p>
        </w:tc>
        <w:tc>
          <w:tcPr>
            <w:tcW w:w="3032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基于离-电传感机理的生命体征信号非接触式高敏感知策略研究</w:t>
            </w:r>
          </w:p>
        </w:tc>
        <w:tc>
          <w:tcPr>
            <w:tcW w:w="26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金涨军、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龙政宇、唐楚豪、李佳衡、王元鑫、吴春豪</w:t>
            </w:r>
          </w:p>
        </w:tc>
        <w:tc>
          <w:tcPr>
            <w:tcW w:w="2834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发表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SCI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收录期刊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论文至少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篇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申请发明专利至少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项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重点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课题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年1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1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  <w:lang w:val="en-US" w:eastAsia="zh-CN"/>
              </w:rPr>
              <w:t>4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冯永飞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宁波大学</w:t>
            </w:r>
          </w:p>
        </w:tc>
        <w:tc>
          <w:tcPr>
            <w:tcW w:w="3032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弱能老人卧-坐-站-走多体位照护康复机器人技术研究</w:t>
            </w:r>
          </w:p>
        </w:tc>
        <w:tc>
          <w:tcPr>
            <w:tcW w:w="2633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王正才、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沈涛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桑春晓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胡庆龙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蔡一辰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邓玉洋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李佳奇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陈茂林</w:t>
            </w:r>
          </w:p>
        </w:tc>
        <w:tc>
          <w:tcPr>
            <w:tcW w:w="2834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发表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SCI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收录期刊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论文至少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篇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申请发明专利至少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项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重点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课题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年1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1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  <w:lang w:val="en-US" w:eastAsia="zh-CN"/>
              </w:rPr>
              <w:t>5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王洪波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复旦大学工程与应用技术研究院</w:t>
            </w:r>
          </w:p>
        </w:tc>
        <w:tc>
          <w:tcPr>
            <w:tcW w:w="3032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仿人双臂护理机器人宜人机构设计与柔顺控制策略研究</w:t>
            </w:r>
          </w:p>
        </w:tc>
        <w:tc>
          <w:tcPr>
            <w:tcW w:w="2633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桑凌峰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郑思远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任世远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岑宇晖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潘琪琪</w:t>
            </w:r>
          </w:p>
        </w:tc>
        <w:tc>
          <w:tcPr>
            <w:tcW w:w="2834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发表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SCI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收录期刊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论文至少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篇，申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请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发明专利至少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项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重点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课题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年1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1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  <w:lang w:val="en-US" w:eastAsia="zh-CN"/>
              </w:rPr>
              <w:t>6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宁圆盛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宁波职业技术学院</w:t>
            </w:r>
          </w:p>
        </w:tc>
        <w:tc>
          <w:tcPr>
            <w:tcW w:w="3032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上肢康复机器人优化设计及多信息融合的自适应康复策略研究</w:t>
            </w:r>
          </w:p>
        </w:tc>
        <w:tc>
          <w:tcPr>
            <w:tcW w:w="2633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廖利辉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严楠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刘杉杉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平慈草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吴银富</w:t>
            </w:r>
          </w:p>
        </w:tc>
        <w:tc>
          <w:tcPr>
            <w:tcW w:w="2834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发表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SCI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收录期刊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论文至少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篇，申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请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 xml:space="preserve">发明专利至少 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项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重点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课题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年1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1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  <w:lang w:val="en-US" w:eastAsia="zh-CN"/>
              </w:rPr>
              <w:t>7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刘洋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宁波大学</w:t>
            </w:r>
          </w:p>
        </w:tc>
        <w:tc>
          <w:tcPr>
            <w:tcW w:w="3032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抗冲击性能驱动的钛基多孔生物植入体的结构设计及增材制造</w:t>
            </w:r>
          </w:p>
        </w:tc>
        <w:tc>
          <w:tcPr>
            <w:tcW w:w="2633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苏庆德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王兴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夏忠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杨欣羽</w:t>
            </w:r>
          </w:p>
        </w:tc>
        <w:tc>
          <w:tcPr>
            <w:tcW w:w="2834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发表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二级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期刊论文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至少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篇，申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请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发明专利至少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项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一般课题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年1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1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  <w:lang w:val="en-US" w:eastAsia="zh-CN"/>
              </w:rPr>
              <w:t>8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房德磊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天津科技大学</w:t>
            </w:r>
          </w:p>
        </w:tc>
        <w:tc>
          <w:tcPr>
            <w:tcW w:w="3032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仿生软体足踝外骨骼柔顺控制技术研究</w:t>
            </w:r>
          </w:p>
        </w:tc>
        <w:tc>
          <w:tcPr>
            <w:tcW w:w="2633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李保、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杨硕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郑云鹏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任方远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苏保龙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文皓</w:t>
            </w:r>
          </w:p>
        </w:tc>
        <w:tc>
          <w:tcPr>
            <w:tcW w:w="2834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发表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二级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期刊论文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至少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篇，申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请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发明专利至少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项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一般课题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年1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1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  <w:lang w:val="en-US" w:eastAsia="zh-CN"/>
              </w:rPr>
              <w:t>9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田宇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复旦大学附属眼耳鼻喉科医院</w:t>
            </w:r>
          </w:p>
        </w:tc>
        <w:tc>
          <w:tcPr>
            <w:tcW w:w="3032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面向高龄患者的气管插管机器人结构设计与感知技术研究</w:t>
            </w:r>
          </w:p>
        </w:tc>
        <w:tc>
          <w:tcPr>
            <w:tcW w:w="2633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桑凌峰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封莉莉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沈祎蕾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Mannan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Abdul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王英杰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陈伟雄</w:t>
            </w:r>
          </w:p>
        </w:tc>
        <w:tc>
          <w:tcPr>
            <w:tcW w:w="2834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发表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二级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期刊论文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至少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篇，申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请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发明专利至少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项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一般课题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年1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1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  <w:lang w:val="en-US" w:eastAsia="zh-CN"/>
              </w:rPr>
              <w:t>10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杨凯盛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宁波大学</w:t>
            </w:r>
          </w:p>
        </w:tc>
        <w:tc>
          <w:tcPr>
            <w:tcW w:w="3032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面向智慧康养的轮椅式柔性驱动踝关节康复机器人设计与控制研究</w:t>
            </w:r>
          </w:p>
        </w:tc>
        <w:tc>
          <w:tcPr>
            <w:tcW w:w="2633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田雷、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董芳艳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陈特欢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胡俊豪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钱灿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阮阳飞</w:t>
            </w:r>
          </w:p>
        </w:tc>
        <w:tc>
          <w:tcPr>
            <w:tcW w:w="2834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发表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二级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期刊论文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至少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篇，申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请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发明专利至少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项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一般课题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年1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1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  <w:lang w:val="en-US" w:eastAsia="zh-CN"/>
              </w:rPr>
              <w:t>11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李鸿娟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宁波职业技术学院</w:t>
            </w:r>
          </w:p>
        </w:tc>
        <w:tc>
          <w:tcPr>
            <w:tcW w:w="3032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基于选区激光熔化技术医用镁合金植入物梯度/分区可控降解机制研究</w:t>
            </w:r>
          </w:p>
        </w:tc>
        <w:tc>
          <w:tcPr>
            <w:tcW w:w="2633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于容周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王海静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田雷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张扬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洪轶斌</w:t>
            </w:r>
          </w:p>
        </w:tc>
        <w:tc>
          <w:tcPr>
            <w:tcW w:w="2834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发表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二级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期刊论文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至少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篇，申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请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发明专利至少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项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一般课题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年1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1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1"/>
                <w:lang w:val="en-US" w:eastAsia="zh-CN"/>
              </w:rPr>
              <w:t>12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但雨芳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宁波职业技术学院</w:t>
            </w:r>
          </w:p>
        </w:tc>
        <w:tc>
          <w:tcPr>
            <w:tcW w:w="3032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鲁棒的多源领域适应老年情感识别方法及应用研究</w:t>
            </w:r>
            <w:bookmarkStart w:id="0" w:name="_GoBack"/>
            <w:bookmarkEnd w:id="0"/>
          </w:p>
        </w:tc>
        <w:tc>
          <w:tcPr>
            <w:tcW w:w="2633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戚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忠淼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李超炜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潘乐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陈子珍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陶剑文</w:t>
            </w:r>
          </w:p>
        </w:tc>
        <w:tc>
          <w:tcPr>
            <w:tcW w:w="2834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 xml:space="preserve">发表 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 xml:space="preserve">SCI 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收录期刊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论文至少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篇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一般课题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202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年1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  <w:t>月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020" w:right="1418" w:bottom="85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5MzYxYTMwNmM2YTFiMWEwODUzZTVlNDM1YjdhMDcifQ=="/>
  </w:docVars>
  <w:rsids>
    <w:rsidRoot w:val="00B55525"/>
    <w:rsid w:val="00077C98"/>
    <w:rsid w:val="000D54E9"/>
    <w:rsid w:val="00144EF5"/>
    <w:rsid w:val="001E4321"/>
    <w:rsid w:val="001E5191"/>
    <w:rsid w:val="002656F9"/>
    <w:rsid w:val="003172F7"/>
    <w:rsid w:val="0036090D"/>
    <w:rsid w:val="00452F0B"/>
    <w:rsid w:val="00647820"/>
    <w:rsid w:val="006950E4"/>
    <w:rsid w:val="006B4399"/>
    <w:rsid w:val="006B55C7"/>
    <w:rsid w:val="00736371"/>
    <w:rsid w:val="00762779"/>
    <w:rsid w:val="00812DD4"/>
    <w:rsid w:val="00835D57"/>
    <w:rsid w:val="009126DE"/>
    <w:rsid w:val="0092439E"/>
    <w:rsid w:val="00954333"/>
    <w:rsid w:val="00A944A4"/>
    <w:rsid w:val="00B43431"/>
    <w:rsid w:val="00B55525"/>
    <w:rsid w:val="00C470A8"/>
    <w:rsid w:val="00C66A63"/>
    <w:rsid w:val="00CB5F36"/>
    <w:rsid w:val="00CC0B1E"/>
    <w:rsid w:val="00D1383D"/>
    <w:rsid w:val="00D25C16"/>
    <w:rsid w:val="00D36CDB"/>
    <w:rsid w:val="00D46C24"/>
    <w:rsid w:val="00DE6481"/>
    <w:rsid w:val="00DE6F9F"/>
    <w:rsid w:val="00E37939"/>
    <w:rsid w:val="00EE6635"/>
    <w:rsid w:val="00F662B3"/>
    <w:rsid w:val="00FF45ED"/>
    <w:rsid w:val="014A51DA"/>
    <w:rsid w:val="026B1845"/>
    <w:rsid w:val="0330036D"/>
    <w:rsid w:val="035E2B6B"/>
    <w:rsid w:val="04033A20"/>
    <w:rsid w:val="048225EF"/>
    <w:rsid w:val="12790A1A"/>
    <w:rsid w:val="1583060C"/>
    <w:rsid w:val="17C22EBF"/>
    <w:rsid w:val="18AF191D"/>
    <w:rsid w:val="192143A1"/>
    <w:rsid w:val="1A516514"/>
    <w:rsid w:val="1A850D90"/>
    <w:rsid w:val="1C773D6A"/>
    <w:rsid w:val="1F264F6B"/>
    <w:rsid w:val="20CE4C2F"/>
    <w:rsid w:val="27F9266F"/>
    <w:rsid w:val="2B94636E"/>
    <w:rsid w:val="2C6646BB"/>
    <w:rsid w:val="2D072778"/>
    <w:rsid w:val="30BB2FBA"/>
    <w:rsid w:val="33613E2E"/>
    <w:rsid w:val="35294FCA"/>
    <w:rsid w:val="362723EB"/>
    <w:rsid w:val="38152550"/>
    <w:rsid w:val="39876642"/>
    <w:rsid w:val="3D6B695F"/>
    <w:rsid w:val="48970FE9"/>
    <w:rsid w:val="4F3D2A80"/>
    <w:rsid w:val="4FE556E7"/>
    <w:rsid w:val="505540DC"/>
    <w:rsid w:val="5205622E"/>
    <w:rsid w:val="52634B15"/>
    <w:rsid w:val="529E2FF5"/>
    <w:rsid w:val="55515DDD"/>
    <w:rsid w:val="5AAC73E3"/>
    <w:rsid w:val="5DC03791"/>
    <w:rsid w:val="600A783F"/>
    <w:rsid w:val="617F2820"/>
    <w:rsid w:val="6449643E"/>
    <w:rsid w:val="64E02555"/>
    <w:rsid w:val="6B92598B"/>
    <w:rsid w:val="6BF07707"/>
    <w:rsid w:val="6F926B42"/>
    <w:rsid w:val="7100164B"/>
    <w:rsid w:val="7233059F"/>
    <w:rsid w:val="72AB7810"/>
    <w:rsid w:val="72FC60A4"/>
    <w:rsid w:val="7461527E"/>
    <w:rsid w:val="79CD6CC2"/>
    <w:rsid w:val="7A42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autoRedefine/>
    <w:qFormat/>
    <w:uiPriority w:val="99"/>
    <w:pPr>
      <w:snapToGrid w:val="0"/>
      <w:spacing w:line="324" w:lineRule="auto"/>
      <w:jc w:val="center"/>
    </w:pPr>
    <w:rPr>
      <w:rFonts w:ascii="Times New Roman" w:hAnsi="Times New Roman"/>
      <w:b/>
      <w:spacing w:val="-4"/>
      <w:sz w:val="36"/>
      <w:szCs w:val="20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autoRedefine/>
    <w:qFormat/>
    <w:uiPriority w:val="99"/>
    <w:rPr>
      <w:rFonts w:ascii="Times New Roman" w:hAnsi="Times New Roman" w:eastAsia="宋体" w:cs="Times New Roman"/>
      <w:b/>
      <w:spacing w:val="-4"/>
      <w:sz w:val="36"/>
      <w:szCs w:val="20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UQi.me</Company>
  <Pages>2</Pages>
  <Words>257</Words>
  <Characters>295</Characters>
  <Lines>2</Lines>
  <Paragraphs>1</Paragraphs>
  <TotalTime>16</TotalTime>
  <ScaleCrop>false</ScaleCrop>
  <LinksUpToDate>false</LinksUpToDate>
  <CharactersWithSpaces>296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2018-10-08T01:22:00Z</dcterms:created>
  <dc:creator>杨林生</dc:creator>
  <cp:lastModifiedBy>李陆洋</cp:lastModifiedBy>
  <cp:lastPrinted>2018-10-16T02:47:00Z</cp:lastPrinted>
  <dcterms:modified xsi:type="dcterms:W3CDTF">2025-02-25T08:01:50Z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73CF1F8ECF3A44D3BF8FBE2839450222_13</vt:lpwstr>
  </property>
  <property fmtid="{D5CDD505-2E9C-101B-9397-08002B2CF9AE}" pid="4" name="KSOTemplateDocerSaveRecord">
    <vt:lpwstr>eyJoZGlkIjoiNjViMzU0ZTcyZDY0MzRjYTQxNjcwYTI3ZmI2ZjRjYzIiLCJ1c2VySWQiOiI2MjE5MzEyNDcifQ==</vt:lpwstr>
  </property>
</Properties>
</file>